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20953" w:rsidRPr="00C60682" w14:paraId="40187702" w14:textId="77777777" w:rsidTr="00145E4F">
        <w:tc>
          <w:tcPr>
            <w:tcW w:w="15388" w:type="dxa"/>
            <w:shd w:val="clear" w:color="auto" w:fill="00B050"/>
          </w:tcPr>
          <w:p w14:paraId="540FDA5B" w14:textId="77777777" w:rsidR="00A20953" w:rsidRPr="00C60682" w:rsidRDefault="006C4EDC" w:rsidP="00A20953">
            <w:pPr>
              <w:jc w:val="center"/>
              <w:rPr>
                <w:rFonts w:cstheme="minorHAnsi"/>
                <w:color w:val="FFFF00"/>
                <w:sz w:val="40"/>
              </w:rPr>
            </w:pPr>
            <w:r w:rsidRPr="00C60682">
              <w:rPr>
                <w:rFonts w:cstheme="minorHAnsi"/>
                <w:noProof/>
              </w:rPr>
              <w:drawing>
                <wp:anchor distT="0" distB="0" distL="114300" distR="114300" simplePos="0" relativeHeight="251665920" behindDoc="0" locked="0" layoutInCell="1" allowOverlap="1" wp14:anchorId="7302929A" wp14:editId="44BF2258">
                  <wp:simplePos x="0" y="0"/>
                  <wp:positionH relativeFrom="column">
                    <wp:posOffset>7835900</wp:posOffset>
                  </wp:positionH>
                  <wp:positionV relativeFrom="paragraph">
                    <wp:posOffset>10795</wp:posOffset>
                  </wp:positionV>
                  <wp:extent cx="588645" cy="577215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617" w:rsidRPr="00C60682">
              <w:rPr>
                <w:rFonts w:cstheme="minorHAnsi"/>
                <w:noProof/>
              </w:rPr>
              <w:drawing>
                <wp:anchor distT="0" distB="0" distL="114300" distR="114300" simplePos="0" relativeHeight="251656704" behindDoc="0" locked="0" layoutInCell="1" allowOverlap="1" wp14:anchorId="7395624E" wp14:editId="44E95075">
                  <wp:simplePos x="0" y="0"/>
                  <wp:positionH relativeFrom="column">
                    <wp:posOffset>1392978</wp:posOffset>
                  </wp:positionH>
                  <wp:positionV relativeFrom="paragraph">
                    <wp:posOffset>2664</wp:posOffset>
                  </wp:positionV>
                  <wp:extent cx="581319" cy="569994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19" cy="569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953" w:rsidRPr="00C60682">
              <w:rPr>
                <w:rFonts w:cstheme="minorHAnsi"/>
                <w:color w:val="FFFF00"/>
                <w:sz w:val="40"/>
              </w:rPr>
              <w:t>Manor Primary School Curriculum Statement</w:t>
            </w:r>
          </w:p>
          <w:p w14:paraId="7F38C632" w14:textId="77777777" w:rsidR="00A20953" w:rsidRPr="00C60682" w:rsidRDefault="00A23472" w:rsidP="00A20953">
            <w:pPr>
              <w:jc w:val="center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Physical Education</w:t>
            </w:r>
            <w:r w:rsidR="006C4EDC">
              <w:rPr>
                <w:rFonts w:cstheme="minorHAnsi"/>
                <w:sz w:val="40"/>
              </w:rPr>
              <w:t xml:space="preserve"> </w:t>
            </w:r>
          </w:p>
        </w:tc>
      </w:tr>
      <w:tr w:rsidR="00BA6B41" w:rsidRPr="00C60682" w14:paraId="0C36A507" w14:textId="77777777" w:rsidTr="00BA6B41">
        <w:tc>
          <w:tcPr>
            <w:tcW w:w="15388" w:type="dxa"/>
            <w:shd w:val="clear" w:color="auto" w:fill="FFFFFF" w:themeFill="background1"/>
          </w:tcPr>
          <w:p w14:paraId="059A5189" w14:textId="77777777" w:rsidR="00684B0D" w:rsidRPr="00D8773A" w:rsidRDefault="00846DF5" w:rsidP="00846B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7C2">
              <w:rPr>
                <w:rFonts w:cstheme="minorHAnsi"/>
                <w:b/>
                <w:sz w:val="24"/>
                <w:szCs w:val="24"/>
              </w:rPr>
              <w:t>Vision</w:t>
            </w:r>
            <w:r w:rsidR="00BA6B41" w:rsidRPr="00D767C2">
              <w:rPr>
                <w:rFonts w:cstheme="minorHAnsi"/>
                <w:b/>
                <w:sz w:val="24"/>
                <w:szCs w:val="24"/>
              </w:rPr>
              <w:t xml:space="preserve"> Statement fo</w:t>
            </w:r>
            <w:r w:rsidR="00BD722C" w:rsidRPr="00D767C2">
              <w:rPr>
                <w:rFonts w:cstheme="minorHAnsi"/>
                <w:b/>
                <w:sz w:val="24"/>
                <w:szCs w:val="24"/>
              </w:rPr>
              <w:t>r</w:t>
            </w:r>
            <w:r w:rsidR="006A35AE" w:rsidRPr="00D767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46B3A">
              <w:rPr>
                <w:rFonts w:cstheme="minorHAnsi"/>
                <w:b/>
                <w:sz w:val="24"/>
                <w:szCs w:val="24"/>
              </w:rPr>
              <w:t>Physical E</w:t>
            </w:r>
            <w:r w:rsidR="00D13AE9">
              <w:rPr>
                <w:rFonts w:cstheme="minorHAnsi"/>
                <w:b/>
                <w:sz w:val="24"/>
                <w:szCs w:val="24"/>
              </w:rPr>
              <w:t>d</w:t>
            </w:r>
            <w:r w:rsidR="00846B3A">
              <w:rPr>
                <w:rFonts w:cstheme="minorHAnsi"/>
                <w:b/>
                <w:sz w:val="24"/>
                <w:szCs w:val="24"/>
              </w:rPr>
              <w:t>ucation</w:t>
            </w:r>
            <w:r w:rsidR="006A35AE">
              <w:rPr>
                <w:rFonts w:cstheme="minorHAnsi"/>
                <w:sz w:val="24"/>
                <w:szCs w:val="24"/>
              </w:rPr>
              <w:t>:</w:t>
            </w:r>
            <w:r w:rsidR="00D767C2">
              <w:rPr>
                <w:rFonts w:cstheme="minorHAnsi"/>
                <w:sz w:val="24"/>
                <w:szCs w:val="24"/>
              </w:rPr>
              <w:t xml:space="preserve"> </w:t>
            </w:r>
            <w:r w:rsidR="00684B0D" w:rsidRPr="00D13AE9">
              <w:rPr>
                <w:sz w:val="24"/>
              </w:rPr>
              <w:t>At Manor, PE should provide opportunities for pupils to become physically confident in a way that supports their health and fitness.</w:t>
            </w:r>
            <w:r w:rsidR="00846B3A" w:rsidRPr="00D13AE9">
              <w:rPr>
                <w:sz w:val="24"/>
              </w:rPr>
              <w:t xml:space="preserve"> Children should be</w:t>
            </w:r>
            <w:r w:rsidR="00684B0D" w:rsidRPr="00D13AE9">
              <w:rPr>
                <w:sz w:val="24"/>
              </w:rPr>
              <w:t xml:space="preserve"> provide</w:t>
            </w:r>
            <w:r w:rsidR="00846B3A" w:rsidRPr="00D13AE9">
              <w:rPr>
                <w:sz w:val="24"/>
              </w:rPr>
              <w:t>d</w:t>
            </w:r>
            <w:r w:rsidR="00684B0D" w:rsidRPr="00D13AE9">
              <w:rPr>
                <w:sz w:val="24"/>
              </w:rPr>
              <w:t xml:space="preserve"> opportunities to compete</w:t>
            </w:r>
            <w:r w:rsidR="00846B3A" w:rsidRPr="00D13AE9">
              <w:rPr>
                <w:sz w:val="24"/>
              </w:rPr>
              <w:t>/excel</w:t>
            </w:r>
            <w:r w:rsidR="00684B0D" w:rsidRPr="00D13AE9">
              <w:rPr>
                <w:sz w:val="24"/>
              </w:rPr>
              <w:t xml:space="preserve"> in sport and other activities that build character and help to embed values </w:t>
            </w:r>
            <w:r w:rsidR="00846B3A" w:rsidRPr="00D13AE9">
              <w:rPr>
                <w:sz w:val="24"/>
              </w:rPr>
              <w:t>of</w:t>
            </w:r>
            <w:r w:rsidR="00684B0D" w:rsidRPr="00D13AE9">
              <w:rPr>
                <w:sz w:val="24"/>
              </w:rPr>
              <w:t xml:space="preserve"> fairness and respect. Children will be exposed to a broad range of sports that will keep them active for sustained periods of time</w:t>
            </w:r>
            <w:r w:rsidR="00846B3A" w:rsidRPr="00D13AE9">
              <w:rPr>
                <w:sz w:val="24"/>
              </w:rPr>
              <w:t xml:space="preserve"> with the hope that when they start secondary school, they will be leading healthy busy lives</w:t>
            </w:r>
          </w:p>
        </w:tc>
      </w:tr>
      <w:tr w:rsidR="00BA6B41" w:rsidRPr="00C60682" w14:paraId="0322600B" w14:textId="77777777" w:rsidTr="00625E00">
        <w:tc>
          <w:tcPr>
            <w:tcW w:w="15388" w:type="dxa"/>
            <w:shd w:val="clear" w:color="auto" w:fill="00B050"/>
          </w:tcPr>
          <w:p w14:paraId="2765B01F" w14:textId="77777777" w:rsidR="00BA6B41" w:rsidRPr="00C60682" w:rsidRDefault="006B7FB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60682">
              <w:rPr>
                <w:rFonts w:cstheme="minorHAnsi"/>
                <w:color w:val="FFFFFF" w:themeColor="background1"/>
                <w:sz w:val="24"/>
                <w:szCs w:val="24"/>
              </w:rPr>
              <w:t>Intent:</w:t>
            </w:r>
          </w:p>
        </w:tc>
      </w:tr>
      <w:tr w:rsidR="006B7FB6" w:rsidRPr="00C60682" w14:paraId="6877DD86" w14:textId="77777777" w:rsidTr="00794286">
        <w:trPr>
          <w:trHeight w:val="1132"/>
        </w:trPr>
        <w:tc>
          <w:tcPr>
            <w:tcW w:w="15388" w:type="dxa"/>
          </w:tcPr>
          <w:p w14:paraId="58CB441C" w14:textId="77777777" w:rsidR="00AD0808" w:rsidRPr="00E42A51" w:rsidRDefault="00AD0808" w:rsidP="00AD0808">
            <w:p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At Manor Primary School we:</w:t>
            </w:r>
          </w:p>
          <w:p w14:paraId="0900D645" w14:textId="77777777" w:rsidR="00384641" w:rsidRDefault="00384641" w:rsidP="0038464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continuous provision for physical activity in FS, where resilience and teamwork are focussed on.</w:t>
            </w:r>
          </w:p>
          <w:p w14:paraId="0028D55C" w14:textId="77777777" w:rsidR="00EB12CE" w:rsidRDefault="00EB12CE" w:rsidP="0038464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Teach 1 session of PE per week to all pupils in KS1</w:t>
            </w:r>
            <w:r w:rsidR="002C2A78">
              <w:rPr>
                <w:rFonts w:cstheme="minorHAnsi"/>
                <w:sz w:val="24"/>
                <w:szCs w:val="24"/>
              </w:rPr>
              <w:t>.</w:t>
            </w:r>
          </w:p>
          <w:p w14:paraId="398DD80E" w14:textId="77777777" w:rsidR="00AD0808" w:rsidRPr="00EB12CE" w:rsidRDefault="00384641" w:rsidP="00EB12C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Teach 2 sessions of PE per week</w:t>
            </w:r>
            <w:r w:rsidR="00406460">
              <w:rPr>
                <w:rFonts w:cstheme="minorHAnsi"/>
                <w:sz w:val="24"/>
                <w:szCs w:val="24"/>
              </w:rPr>
              <w:t xml:space="preserve"> to all pupils in KS2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1A65C52" w14:textId="77777777" w:rsidR="00AD0808" w:rsidRDefault="00AD0808" w:rsidP="00CF4FE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Follow</w:t>
            </w:r>
            <w:r w:rsidR="00EB12CE">
              <w:rPr>
                <w:rFonts w:cstheme="minorHAnsi"/>
                <w:sz w:val="24"/>
                <w:szCs w:val="24"/>
              </w:rPr>
              <w:t xml:space="preserve"> ‘The PE Hub’</w:t>
            </w:r>
            <w:r w:rsidRPr="00E42A51">
              <w:rPr>
                <w:rFonts w:cstheme="minorHAnsi"/>
                <w:sz w:val="24"/>
                <w:szCs w:val="24"/>
              </w:rPr>
              <w:t xml:space="preserve"> scheme of work which is</w:t>
            </w:r>
            <w:r w:rsidR="00B513DC">
              <w:rPr>
                <w:rFonts w:cstheme="minorHAnsi"/>
                <w:sz w:val="24"/>
                <w:szCs w:val="24"/>
              </w:rPr>
              <w:t xml:space="preserve"> inclusive, follows the national curriculum and includes a </w:t>
            </w:r>
            <w:r w:rsidR="00B1332F">
              <w:rPr>
                <w:rFonts w:cstheme="minorHAnsi"/>
                <w:sz w:val="24"/>
                <w:szCs w:val="24"/>
              </w:rPr>
              <w:t>broad range</w:t>
            </w:r>
            <w:r w:rsidR="00B513DC">
              <w:rPr>
                <w:rFonts w:cstheme="minorHAnsi"/>
                <w:sz w:val="24"/>
                <w:szCs w:val="24"/>
              </w:rPr>
              <w:t xml:space="preserve"> of sports.</w:t>
            </w:r>
          </w:p>
          <w:p w14:paraId="36305F60" w14:textId="77777777" w:rsidR="00AD0808" w:rsidRPr="00D914A8" w:rsidRDefault="00B718E3" w:rsidP="00D914A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opportunity for children to s</w:t>
            </w:r>
            <w:r w:rsidRPr="00B718E3">
              <w:rPr>
                <w:rFonts w:cstheme="minorHAnsi"/>
                <w:sz w:val="24"/>
                <w:szCs w:val="24"/>
              </w:rPr>
              <w:t>wim competently, confidently and proficiently over a distance of at least 25 metres</w:t>
            </w:r>
            <w:r w:rsidR="00D914A8">
              <w:rPr>
                <w:rFonts w:cstheme="minorHAnsi"/>
                <w:sz w:val="24"/>
                <w:szCs w:val="24"/>
              </w:rPr>
              <w:t>.</w:t>
            </w:r>
          </w:p>
          <w:p w14:paraId="78C7B871" w14:textId="77777777" w:rsidR="00B718E3" w:rsidRDefault="00B718E3" w:rsidP="00AD080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Encourage children to use</w:t>
            </w:r>
            <w:r w:rsidR="00AD0808" w:rsidRPr="00E42A51">
              <w:rPr>
                <w:rFonts w:cstheme="minorHAnsi"/>
                <w:sz w:val="24"/>
                <w:szCs w:val="24"/>
              </w:rPr>
              <w:t xml:space="preserve"> the appropriate</w:t>
            </w:r>
            <w:r w:rsidR="002C2A78">
              <w:rPr>
                <w:rFonts w:cstheme="minorHAnsi"/>
                <w:sz w:val="24"/>
                <w:szCs w:val="24"/>
              </w:rPr>
              <w:t xml:space="preserve"> sports specific</w:t>
            </w:r>
            <w:r w:rsidR="00AD0808" w:rsidRPr="00E42A51">
              <w:rPr>
                <w:rFonts w:cstheme="minorHAnsi"/>
                <w:sz w:val="24"/>
                <w:szCs w:val="24"/>
              </w:rPr>
              <w:t xml:space="preserve"> </w:t>
            </w:r>
            <w:r w:rsidR="002C2A78">
              <w:rPr>
                <w:rFonts w:cstheme="minorHAnsi"/>
                <w:sz w:val="24"/>
                <w:szCs w:val="24"/>
              </w:rPr>
              <w:t>vocabulary</w:t>
            </w:r>
            <w:r w:rsidR="00D914A8">
              <w:rPr>
                <w:rFonts w:cstheme="minorHAnsi"/>
                <w:sz w:val="24"/>
                <w:szCs w:val="24"/>
              </w:rPr>
              <w:t>.</w:t>
            </w:r>
          </w:p>
          <w:p w14:paraId="20FBCDB3" w14:textId="77777777" w:rsidR="00AD0808" w:rsidRPr="00E42A51" w:rsidRDefault="00C87AA7" w:rsidP="00AD080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opportunity for children to</w:t>
            </w:r>
            <w:r w:rsidR="00B718E3" w:rsidRPr="00B718E3">
              <w:rPr>
                <w:rFonts w:cstheme="minorHAnsi"/>
                <w:sz w:val="24"/>
                <w:szCs w:val="24"/>
              </w:rPr>
              <w:t xml:space="preserve"> communicat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B718E3" w:rsidRPr="00B718E3">
              <w:rPr>
                <w:rFonts w:cstheme="minorHAnsi"/>
                <w:sz w:val="24"/>
                <w:szCs w:val="24"/>
              </w:rPr>
              <w:t>, collabor</w:t>
            </w:r>
            <w:r>
              <w:rPr>
                <w:rFonts w:cstheme="minorHAnsi"/>
                <w:sz w:val="24"/>
                <w:szCs w:val="24"/>
              </w:rPr>
              <w:t>ate</w:t>
            </w:r>
            <w:r w:rsidR="00B718E3" w:rsidRPr="00B718E3">
              <w:rPr>
                <w:rFonts w:cstheme="minorHAnsi"/>
                <w:sz w:val="24"/>
                <w:szCs w:val="24"/>
              </w:rPr>
              <w:t xml:space="preserve"> and compet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B718E3" w:rsidRPr="00B718E3">
              <w:rPr>
                <w:rFonts w:cstheme="minorHAnsi"/>
                <w:sz w:val="24"/>
                <w:szCs w:val="24"/>
              </w:rPr>
              <w:t xml:space="preserve"> with each other.</w:t>
            </w:r>
          </w:p>
          <w:p w14:paraId="770F0F3C" w14:textId="77777777" w:rsidR="00C87AA7" w:rsidRDefault="00110177" w:rsidP="00C87A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Encourage children to become confident in supporting their health and fitness.</w:t>
            </w:r>
          </w:p>
          <w:p w14:paraId="17C86E61" w14:textId="77777777" w:rsidR="00AD0808" w:rsidRPr="00C87AA7" w:rsidRDefault="00C87AA7" w:rsidP="00C87A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C87AA7">
              <w:rPr>
                <w:rFonts w:cstheme="minorHAnsi"/>
                <w:sz w:val="24"/>
                <w:szCs w:val="24"/>
              </w:rPr>
              <w:t>mbed values such as fairness and respect.</w:t>
            </w:r>
          </w:p>
          <w:p w14:paraId="7F3F4332" w14:textId="77777777" w:rsidR="00914ECA" w:rsidRDefault="00110177" w:rsidP="00842DA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enrichment</w:t>
            </w:r>
            <w:r w:rsidR="00842DAC">
              <w:rPr>
                <w:rFonts w:cstheme="minorHAnsi"/>
                <w:sz w:val="24"/>
                <w:szCs w:val="24"/>
              </w:rPr>
              <w:t xml:space="preserve"> and extra-curricular learning</w:t>
            </w:r>
            <w:r>
              <w:rPr>
                <w:rFonts w:cstheme="minorHAnsi"/>
                <w:sz w:val="24"/>
                <w:szCs w:val="24"/>
              </w:rPr>
              <w:t xml:space="preserve"> so children can </w:t>
            </w:r>
            <w:r w:rsidR="00D914A8">
              <w:rPr>
                <w:rFonts w:cstheme="minorHAnsi"/>
                <w:sz w:val="24"/>
                <w:szCs w:val="24"/>
              </w:rPr>
              <w:t>have exposure to</w:t>
            </w:r>
            <w:r>
              <w:rPr>
                <w:rFonts w:cstheme="minorHAnsi"/>
                <w:sz w:val="24"/>
                <w:szCs w:val="24"/>
              </w:rPr>
              <w:t xml:space="preserve"> new sports</w:t>
            </w:r>
            <w:r w:rsidR="00D914A8">
              <w:rPr>
                <w:rFonts w:cstheme="minorHAnsi"/>
                <w:sz w:val="24"/>
                <w:szCs w:val="24"/>
              </w:rPr>
              <w:t>.</w:t>
            </w:r>
          </w:p>
          <w:p w14:paraId="3901CBB4" w14:textId="77777777" w:rsidR="00842DAC" w:rsidRDefault="00914ECA" w:rsidP="00842DA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Offer children daily physical and health enhancing activities at break and lunch times with the offer of</w:t>
            </w:r>
            <w:r w:rsidR="00D914A8">
              <w:rPr>
                <w:rFonts w:cstheme="minorHAnsi"/>
                <w:sz w:val="24"/>
                <w:szCs w:val="24"/>
              </w:rPr>
              <w:t xml:space="preserve"> outdoor</w:t>
            </w:r>
            <w:r>
              <w:rPr>
                <w:rFonts w:cstheme="minorHAnsi"/>
                <w:sz w:val="24"/>
                <w:szCs w:val="24"/>
              </w:rPr>
              <w:t xml:space="preserve"> gyms, equipment and active walls. </w:t>
            </w:r>
          </w:p>
          <w:p w14:paraId="14F079A8" w14:textId="77777777" w:rsidR="00914ECA" w:rsidRPr="00842DAC" w:rsidRDefault="00914ECA" w:rsidP="00842DA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Train lunchtime staff to encourage </w:t>
            </w:r>
            <w:r w:rsidR="000B66C7">
              <w:rPr>
                <w:rFonts w:cstheme="minorHAnsi"/>
                <w:sz w:val="24"/>
                <w:szCs w:val="24"/>
              </w:rPr>
              <w:t>children to engage in active play.</w:t>
            </w:r>
          </w:p>
        </w:tc>
      </w:tr>
      <w:tr w:rsidR="00BA6B41" w:rsidRPr="00C60682" w14:paraId="41F86C3F" w14:textId="77777777" w:rsidTr="008D04E4">
        <w:trPr>
          <w:trHeight w:val="282"/>
        </w:trPr>
        <w:tc>
          <w:tcPr>
            <w:tcW w:w="15388" w:type="dxa"/>
            <w:shd w:val="clear" w:color="auto" w:fill="00B050"/>
          </w:tcPr>
          <w:p w14:paraId="597A400F" w14:textId="77777777" w:rsidR="00BA6B41" w:rsidRPr="00C60682" w:rsidRDefault="00BA6B41" w:rsidP="008D04E4">
            <w:pPr>
              <w:rPr>
                <w:rFonts w:cstheme="minorHAnsi"/>
                <w:sz w:val="24"/>
                <w:szCs w:val="24"/>
              </w:rPr>
            </w:pPr>
            <w:bookmarkStart w:id="0" w:name="_Hlk51752109"/>
            <w:r w:rsidRPr="00C60682">
              <w:rPr>
                <w:rFonts w:cstheme="minorHAnsi"/>
                <w:color w:val="FFFFFF" w:themeColor="background1"/>
                <w:sz w:val="24"/>
                <w:szCs w:val="24"/>
              </w:rPr>
              <w:t>Implementation</w:t>
            </w:r>
            <w:r w:rsidR="008D04E4" w:rsidRPr="00C60682">
              <w:rPr>
                <w:rFonts w:cstheme="minorHAnsi"/>
                <w:color w:val="FFFFFF" w:themeColor="background1"/>
                <w:sz w:val="24"/>
                <w:szCs w:val="24"/>
              </w:rPr>
              <w:t>:</w:t>
            </w:r>
          </w:p>
        </w:tc>
      </w:tr>
    </w:tbl>
    <w:p w14:paraId="725D7CD5" w14:textId="77777777" w:rsidR="00D767C2" w:rsidRDefault="00D767C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A6B41" w:rsidRPr="00C60682" w14:paraId="3F537260" w14:textId="77777777" w:rsidTr="00BA6B41">
        <w:trPr>
          <w:trHeight w:val="526"/>
        </w:trPr>
        <w:tc>
          <w:tcPr>
            <w:tcW w:w="15388" w:type="dxa"/>
            <w:shd w:val="clear" w:color="auto" w:fill="FFFFFF" w:themeFill="background1"/>
          </w:tcPr>
          <w:p w14:paraId="078AF051" w14:textId="77777777" w:rsidR="00B04CBD" w:rsidRDefault="00B04CBD" w:rsidP="00B04C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4CB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Implementation</w:t>
            </w:r>
          </w:p>
          <w:p w14:paraId="78320D7E" w14:textId="77777777" w:rsidR="000B66C7" w:rsidRPr="00B04CBD" w:rsidRDefault="000B66C7" w:rsidP="00B04CBD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W w:w="135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29"/>
            </w:tblGrid>
            <w:tr w:rsidR="00B04CBD" w:rsidRPr="00B04CBD" w14:paraId="35419000" w14:textId="77777777" w:rsidTr="00B04CBD">
              <w:tc>
                <w:tcPr>
                  <w:tcW w:w="104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3C9236" w14:textId="77777777" w:rsidR="00B04CBD" w:rsidRPr="00B04CBD" w:rsidRDefault="00B04CBD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Our curriculum provision is carefully structured and sequenced through The PE Hub scheme. The PE Hub provides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staff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with detailed planning and skill-based guidance, </w:t>
                  </w:r>
                  <w:r w:rsidR="00D914A8" w:rsidRPr="00B04CBD">
                    <w:rPr>
                      <w:rFonts w:cstheme="minorHAnsi"/>
                      <w:sz w:val="24"/>
                      <w:szCs w:val="24"/>
                    </w:rPr>
                    <w:t>supporting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high quality teaching, with consistency in its progression. Each year, children have the chance to develop their skills in gymnastics, dance and their core games skills.</w:t>
                  </w:r>
                </w:p>
                <w:p w14:paraId="35C1E9C6" w14:textId="77777777" w:rsidR="00B04CBD" w:rsidRPr="00817953" w:rsidRDefault="00B04CBD" w:rsidP="00D13AE9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17953">
                    <w:rPr>
                      <w:rFonts w:cstheme="minorHAnsi"/>
                      <w:sz w:val="24"/>
                      <w:szCs w:val="24"/>
                    </w:rPr>
                    <w:t>In Early Years and Key Stage 1, lessons focus on developing physical literacy and core skills such as throwing, catching, movement, striking and agility. Learning opportunities include play-based activities, personal challenge and small group games.</w:t>
                  </w:r>
                </w:p>
                <w:p w14:paraId="6B3227B2" w14:textId="77777777" w:rsidR="00B04CBD" w:rsidRPr="00817953" w:rsidRDefault="00B04CBD" w:rsidP="00D13AE9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17953">
                    <w:rPr>
                      <w:rFonts w:cstheme="minorHAnsi"/>
                      <w:sz w:val="24"/>
                      <w:szCs w:val="24"/>
                    </w:rPr>
                    <w:t>In Key Stage 2, children demonstrate these core skills in a variety of activities: athletics, gymnastics, dance and games (invasion, striking and fielding, and net/wall). Learning opportunities include personal challenge, team-based games and peer-evaluation.</w:t>
                  </w:r>
                </w:p>
                <w:p w14:paraId="7E29BE8A" w14:textId="77777777" w:rsidR="00817953" w:rsidRDefault="00817953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227F9D1C" w14:textId="77777777" w:rsidR="00B04CBD" w:rsidRPr="00B04CBD" w:rsidRDefault="00B04CBD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Our after-school clubs in football,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cricket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, dance and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netball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give children opportunities for specialised, extra-curricular learning.</w:t>
                  </w:r>
                </w:p>
                <w:p w14:paraId="14BB0115" w14:textId="77777777" w:rsidR="00B04CBD" w:rsidRPr="00B04CBD" w:rsidRDefault="00B04CBD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Enhanced engagement and enjoyment </w:t>
                  </w:r>
                  <w:proofErr w:type="gramStart"/>
                  <w:r w:rsidRPr="00B04CBD">
                    <w:rPr>
                      <w:rFonts w:cstheme="minorHAnsi"/>
                      <w:sz w:val="24"/>
                      <w:szCs w:val="24"/>
                    </w:rPr>
                    <w:t>is</w:t>
                  </w:r>
                  <w:proofErr w:type="gramEnd"/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provided with the chance to represent the school at external sporting competitions.  Further physical education and healthy living enrichment is added through our strong links with outside professionals, such as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the NHS </w:t>
                  </w:r>
                  <w:r w:rsidR="00FF74AE">
                    <w:rPr>
                      <w:rFonts w:cstheme="minorHAnsi"/>
                      <w:sz w:val="24"/>
                      <w:szCs w:val="24"/>
                    </w:rPr>
                    <w:t>‘</w:t>
                  </w:r>
                  <w:r>
                    <w:rPr>
                      <w:rFonts w:cstheme="minorHAnsi"/>
                      <w:sz w:val="24"/>
                      <w:szCs w:val="24"/>
                    </w:rPr>
                    <w:t>Healthy Me</w:t>
                  </w:r>
                  <w:r w:rsidR="00FF74AE">
                    <w:rPr>
                      <w:rFonts w:cstheme="minorHAnsi"/>
                      <w:sz w:val="24"/>
                      <w:szCs w:val="24"/>
                    </w:rPr>
                    <w:t>’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project which targets those families who have inactive children to break barriers and promote healthier lifestyle</w:t>
                  </w:r>
                  <w:r w:rsidR="00432420"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 We work closely with the Reading S</w:t>
                  </w:r>
                  <w:r w:rsidR="00E077F1">
                    <w:rPr>
                      <w:rFonts w:cstheme="minorHAnsi"/>
                      <w:sz w:val="24"/>
                      <w:szCs w:val="24"/>
                    </w:rPr>
                    <w:t xml:space="preserve">chools Sports Partnership who help provide opportunities for children, including SEND, to compete competitively in sports such as trampolining, </w:t>
                  </w:r>
                  <w:proofErr w:type="spellStart"/>
                  <w:r w:rsidR="00E077F1">
                    <w:rPr>
                      <w:rFonts w:cstheme="minorHAnsi"/>
                      <w:sz w:val="24"/>
                      <w:szCs w:val="24"/>
                    </w:rPr>
                    <w:t>kurling</w:t>
                  </w:r>
                  <w:proofErr w:type="spellEnd"/>
                  <w:r w:rsidR="00E077F1">
                    <w:rPr>
                      <w:rFonts w:cstheme="minorHAnsi"/>
                      <w:sz w:val="24"/>
                      <w:szCs w:val="24"/>
                    </w:rPr>
                    <w:t xml:space="preserve"> and wall climbing.</w:t>
                  </w:r>
                </w:p>
                <w:p w14:paraId="65254829" w14:textId="77777777" w:rsidR="00E077F1" w:rsidRDefault="00E077F1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624E3C50" w14:textId="77777777" w:rsidR="00B43B93" w:rsidRDefault="00B04CBD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Assessment in physical education at </w:t>
                  </w:r>
                  <w:r w:rsidR="00E077F1">
                    <w:rPr>
                      <w:rFonts w:cstheme="minorHAnsi"/>
                      <w:sz w:val="24"/>
                      <w:szCs w:val="24"/>
                    </w:rPr>
                    <w:t>Manor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takes various forms. </w:t>
                  </w:r>
                  <w:r w:rsidR="00E077F1"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>killed teacher assessment</w:t>
                  </w:r>
                  <w:r w:rsidR="00E077F1">
                    <w:rPr>
                      <w:rFonts w:cstheme="minorHAnsi"/>
                      <w:sz w:val="24"/>
                      <w:szCs w:val="24"/>
                    </w:rPr>
                    <w:t xml:space="preserve"> is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given to individuals, small groups and whole-class during PE lessons. This gives children an immediate ‘next step’ that they can aim to achieve</w:t>
                  </w:r>
                  <w:r w:rsidR="001A6A70">
                    <w:rPr>
                      <w:rFonts w:cstheme="minorHAnsi"/>
                      <w:sz w:val="24"/>
                      <w:szCs w:val="24"/>
                    </w:rPr>
                    <w:t>. Key assessment questions are provided on ‘The PE hub’ lesson plans and are used throughout the sessions. Through mini-</w:t>
                  </w:r>
                  <w:r w:rsidR="000B66C7">
                    <w:rPr>
                      <w:rFonts w:cstheme="minorHAnsi"/>
                      <w:sz w:val="24"/>
                      <w:szCs w:val="24"/>
                    </w:rPr>
                    <w:t>plenaries</w:t>
                  </w:r>
                  <w:r w:rsidR="00432420"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 w:rsidR="001A6A70">
                    <w:rPr>
                      <w:rFonts w:cstheme="minorHAnsi"/>
                      <w:sz w:val="24"/>
                      <w:szCs w:val="24"/>
                    </w:rPr>
                    <w:t xml:space="preserve"> feedback is provided on </w:t>
                  </w:r>
                  <w:r w:rsidR="000B66C7">
                    <w:rPr>
                      <w:rFonts w:cstheme="minorHAnsi"/>
                      <w:sz w:val="24"/>
                      <w:szCs w:val="24"/>
                    </w:rPr>
                    <w:t>children’s</w:t>
                  </w:r>
                  <w:r w:rsidR="001A6A70">
                    <w:rPr>
                      <w:rFonts w:cstheme="minorHAnsi"/>
                      <w:sz w:val="24"/>
                      <w:szCs w:val="24"/>
                    </w:rPr>
                    <w:t xml:space="preserve"> performances</w:t>
                  </w:r>
                  <w:r w:rsidR="00432420">
                    <w:rPr>
                      <w:rFonts w:cstheme="minorHAnsi"/>
                      <w:sz w:val="24"/>
                      <w:szCs w:val="24"/>
                    </w:rPr>
                    <w:t xml:space="preserve"> and</w:t>
                  </w:r>
                  <w:r w:rsidR="001A6A70">
                    <w:rPr>
                      <w:rFonts w:cstheme="minorHAnsi"/>
                      <w:sz w:val="24"/>
                      <w:szCs w:val="24"/>
                    </w:rPr>
                    <w:t xml:space="preserve"> PE data is collected in terms 2,4 and 6 onto </w:t>
                  </w:r>
                  <w:proofErr w:type="spellStart"/>
                  <w:r w:rsidR="001A6A70">
                    <w:rPr>
                      <w:rFonts w:cstheme="minorHAnsi"/>
                      <w:sz w:val="24"/>
                      <w:szCs w:val="24"/>
                    </w:rPr>
                    <w:t>Otrack</w:t>
                  </w:r>
                  <w:proofErr w:type="spellEnd"/>
                  <w:r w:rsidR="001A6A70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 w:rsidR="0043242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E417ED" w:rsidRPr="00E417ED">
                    <w:rPr>
                      <w:rFonts w:cstheme="minorHAnsi"/>
                      <w:sz w:val="24"/>
                      <w:szCs w:val="24"/>
                    </w:rPr>
                    <w:t>Swimming is offered in year 1 and year 3 and we also offer top-up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 xml:space="preserve"> s</w:t>
                  </w:r>
                  <w:r w:rsidR="00E417ED" w:rsidRPr="00E417ED">
                    <w:rPr>
                      <w:rFonts w:cstheme="minorHAnsi"/>
                      <w:sz w:val="24"/>
                      <w:szCs w:val="24"/>
                    </w:rPr>
                    <w:t>wimming sessions in year 5 for those who have not achieved the 25m unaided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 xml:space="preserve"> swimming</w:t>
                  </w:r>
                  <w:r w:rsidR="00E417ED" w:rsidRPr="00E417ED">
                    <w:rPr>
                      <w:rFonts w:cstheme="minorHAnsi"/>
                      <w:sz w:val="24"/>
                      <w:szCs w:val="24"/>
                    </w:rPr>
                    <w:t xml:space="preserve"> target.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 xml:space="preserve"> W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e assess our children and 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 xml:space="preserve">display our swimming 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>percentage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 xml:space="preserve">of 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>who can complete 25 metres unaided</w:t>
                  </w:r>
                  <w:r w:rsidR="00E417ED">
                    <w:rPr>
                      <w:rFonts w:cstheme="minorHAnsi"/>
                      <w:sz w:val="24"/>
                      <w:szCs w:val="24"/>
                    </w:rPr>
                    <w:t xml:space="preserve"> on the school website</w:t>
                  </w:r>
                  <w:r w:rsidRPr="00B04CBD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6E6CA6B8" w14:textId="77777777" w:rsidR="00432420" w:rsidRDefault="00432420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5944E2FE" w14:textId="77777777" w:rsidR="00B04CBD" w:rsidRDefault="00B04CBD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04CBD">
                    <w:rPr>
                      <w:rFonts w:cstheme="minorHAnsi"/>
                      <w:sz w:val="24"/>
                      <w:szCs w:val="24"/>
                    </w:rPr>
                    <w:t>We give all of our teachers CPD opportunities to develop their PE teaching skills</w:t>
                  </w:r>
                  <w:r w:rsidR="00B43B93">
                    <w:rPr>
                      <w:rFonts w:cstheme="minorHAnsi"/>
                      <w:sz w:val="24"/>
                      <w:szCs w:val="24"/>
                    </w:rPr>
                    <w:t xml:space="preserve"> th</w:t>
                  </w:r>
                  <w:r w:rsidR="00432420">
                    <w:rPr>
                      <w:rFonts w:cstheme="minorHAnsi"/>
                      <w:sz w:val="24"/>
                      <w:szCs w:val="24"/>
                    </w:rPr>
                    <w:t>r</w:t>
                  </w:r>
                  <w:r w:rsidR="00B43B93">
                    <w:rPr>
                      <w:rFonts w:cstheme="minorHAnsi"/>
                      <w:sz w:val="24"/>
                      <w:szCs w:val="24"/>
                    </w:rPr>
                    <w:t xml:space="preserve">ough </w:t>
                  </w:r>
                  <w:r w:rsidR="000B66C7">
                    <w:rPr>
                      <w:rFonts w:cstheme="minorHAnsi"/>
                      <w:sz w:val="24"/>
                      <w:szCs w:val="24"/>
                    </w:rPr>
                    <w:t>bringing</w:t>
                  </w:r>
                  <w:r w:rsidR="00B43B93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32420">
                    <w:rPr>
                      <w:rFonts w:cstheme="minorHAnsi"/>
                      <w:sz w:val="24"/>
                      <w:szCs w:val="24"/>
                    </w:rPr>
                    <w:t xml:space="preserve">in </w:t>
                  </w:r>
                  <w:r w:rsidR="00B43B93">
                    <w:rPr>
                      <w:rFonts w:cstheme="minorHAnsi"/>
                      <w:sz w:val="24"/>
                      <w:szCs w:val="24"/>
                    </w:rPr>
                    <w:t xml:space="preserve">qualified </w:t>
                  </w:r>
                  <w:r w:rsidR="000B66C7">
                    <w:rPr>
                      <w:rFonts w:cstheme="minorHAnsi"/>
                      <w:sz w:val="24"/>
                      <w:szCs w:val="24"/>
                    </w:rPr>
                    <w:t>professionals</w:t>
                  </w:r>
                  <w:r w:rsidR="00B43B93">
                    <w:rPr>
                      <w:rFonts w:cstheme="minorHAnsi"/>
                      <w:sz w:val="24"/>
                      <w:szCs w:val="24"/>
                    </w:rPr>
                    <w:t xml:space="preserve"> for them to observe good practice from. Staff also have access to the </w:t>
                  </w:r>
                  <w:r w:rsidR="00817953">
                    <w:rPr>
                      <w:rFonts w:cstheme="minorHAnsi"/>
                      <w:sz w:val="24"/>
                      <w:szCs w:val="24"/>
                    </w:rPr>
                    <w:t>high-quality</w:t>
                  </w:r>
                  <w:r w:rsidR="00B43B93">
                    <w:rPr>
                      <w:rFonts w:cstheme="minorHAnsi"/>
                      <w:sz w:val="24"/>
                      <w:szCs w:val="24"/>
                    </w:rPr>
                    <w:t xml:space="preserve"> videos available on ‘The PE Hub’ platform.</w:t>
                  </w:r>
                </w:p>
                <w:p w14:paraId="42C517BE" w14:textId="77777777" w:rsidR="000B66C7" w:rsidRDefault="000B66C7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1E2CBC53" w14:textId="77777777" w:rsidR="00B04CBD" w:rsidRPr="00B04CBD" w:rsidRDefault="000B66C7" w:rsidP="00D13AE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In year 4 and year 6, pupils are given the opportunities to attend a residential trip which focusses on adventurous outdoor activities which help promote their confidence, resilience and challenges their fears. During these they also experience real-life team building through sensory trails and dragon-boating as well as giving them exposure to more niche activities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eg.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 xml:space="preserve"> High-ropes, kayaking and shooting.</w:t>
                  </w:r>
                </w:p>
              </w:tc>
            </w:tr>
          </w:tbl>
          <w:p w14:paraId="2F3E0D4B" w14:textId="77777777" w:rsidR="000B66C7" w:rsidRPr="000B66C7" w:rsidRDefault="000B66C7" w:rsidP="008D04E4">
            <w:pPr>
              <w:rPr>
                <w:rFonts w:cstheme="minorHAnsi"/>
                <w:sz w:val="24"/>
                <w:szCs w:val="24"/>
              </w:rPr>
            </w:pPr>
          </w:p>
          <w:p w14:paraId="7A90C00C" w14:textId="77777777" w:rsidR="000F3447" w:rsidRDefault="000F3447" w:rsidP="008D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typical </w:t>
            </w:r>
            <w:r w:rsidR="00243EA5">
              <w:rPr>
                <w:rFonts w:cstheme="minorHAnsi"/>
                <w:sz w:val="24"/>
                <w:szCs w:val="24"/>
              </w:rPr>
              <w:t>P.E.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F02DF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esson</w:t>
            </w:r>
            <w:r w:rsidR="00457C40">
              <w:rPr>
                <w:rFonts w:cstheme="minorHAnsi"/>
                <w:sz w:val="24"/>
                <w:szCs w:val="24"/>
              </w:rPr>
              <w:t>:</w:t>
            </w:r>
          </w:p>
          <w:p w14:paraId="1E248958" w14:textId="77777777" w:rsidR="000F3447" w:rsidRDefault="000F3447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Teachers </w:t>
            </w:r>
            <w:r w:rsidR="00B05F5E">
              <w:rPr>
                <w:rFonts w:cstheme="minorHAnsi"/>
                <w:sz w:val="24"/>
                <w:szCs w:val="24"/>
              </w:rPr>
              <w:t>begin</w:t>
            </w:r>
            <w:r w:rsidR="008C67F8">
              <w:rPr>
                <w:rFonts w:cstheme="minorHAnsi"/>
                <w:sz w:val="24"/>
                <w:szCs w:val="24"/>
              </w:rPr>
              <w:t xml:space="preserve"> with a warm-up using</w:t>
            </w:r>
            <w:r>
              <w:rPr>
                <w:rFonts w:cstheme="minorHAnsi"/>
                <w:sz w:val="24"/>
                <w:szCs w:val="24"/>
              </w:rPr>
              <w:t xml:space="preserve"> the ‘</w:t>
            </w:r>
            <w:r w:rsidR="009F02DF">
              <w:rPr>
                <w:rFonts w:cstheme="minorHAnsi"/>
                <w:sz w:val="24"/>
                <w:szCs w:val="24"/>
              </w:rPr>
              <w:t>starter activity</w:t>
            </w:r>
            <w:r>
              <w:rPr>
                <w:rFonts w:cstheme="minorHAnsi"/>
                <w:sz w:val="24"/>
                <w:szCs w:val="24"/>
              </w:rPr>
              <w:t>’ content from the</w:t>
            </w:r>
            <w:r w:rsidR="009F02DF">
              <w:rPr>
                <w:rFonts w:cstheme="minorHAnsi"/>
                <w:sz w:val="24"/>
                <w:szCs w:val="24"/>
              </w:rPr>
              <w:t xml:space="preserve"> relevant lesson on the ‘The PE Hub’</w:t>
            </w:r>
            <w:r>
              <w:rPr>
                <w:rFonts w:cstheme="minorHAnsi"/>
                <w:sz w:val="24"/>
                <w:szCs w:val="24"/>
              </w:rPr>
              <w:t xml:space="preserve"> website</w:t>
            </w:r>
            <w:r w:rsidR="009F02DF">
              <w:rPr>
                <w:rFonts w:cstheme="minorHAnsi"/>
                <w:sz w:val="24"/>
                <w:szCs w:val="24"/>
              </w:rPr>
              <w:t>.</w:t>
            </w:r>
          </w:p>
          <w:p w14:paraId="7AB5A78B" w14:textId="77777777" w:rsidR="001A6A70" w:rsidRDefault="001A6A70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Key vocabulary and links to previous learning are made to assess prior knowledge.</w:t>
            </w:r>
          </w:p>
          <w:p w14:paraId="25E970A4" w14:textId="77777777" w:rsidR="000F3447" w:rsidRDefault="000F3447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9F02DF">
              <w:rPr>
                <w:rFonts w:cstheme="minorHAnsi"/>
                <w:sz w:val="24"/>
                <w:szCs w:val="24"/>
              </w:rPr>
              <w:t>main part of the lesson will focus on teaching a new skill or develop existing skill through teacher modelling.</w:t>
            </w:r>
          </w:p>
          <w:p w14:paraId="079301D9" w14:textId="77777777" w:rsidR="009F02DF" w:rsidRDefault="009F02DF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Teachers give opportunity to practice these new skills/developed skills through an activity highlighted by the ‘The PE Hub’</w:t>
            </w:r>
            <w:r w:rsidR="00842DAC">
              <w:rPr>
                <w:rFonts w:cstheme="minorHAnsi"/>
                <w:sz w:val="24"/>
                <w:szCs w:val="24"/>
              </w:rPr>
              <w:t xml:space="preserve"> which links to the PE national curriculum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DBA9323" w14:textId="77777777" w:rsidR="000F3447" w:rsidRDefault="000F3447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Teachers will explicitly model how to undertake the task. </w:t>
            </w:r>
          </w:p>
          <w:p w14:paraId="69AB6D1F" w14:textId="77777777" w:rsidR="000F3447" w:rsidRDefault="00432420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9F02DF">
              <w:rPr>
                <w:rFonts w:cstheme="minorHAnsi"/>
                <w:sz w:val="24"/>
                <w:szCs w:val="24"/>
              </w:rPr>
              <w:t>ideo guides</w:t>
            </w:r>
            <w:r w:rsidR="000F3447">
              <w:rPr>
                <w:rFonts w:cstheme="minorHAnsi"/>
                <w:sz w:val="24"/>
                <w:szCs w:val="24"/>
              </w:rPr>
              <w:t xml:space="preserve"> (whe</w:t>
            </w:r>
            <w:r w:rsidR="009F02DF">
              <w:rPr>
                <w:rFonts w:cstheme="minorHAnsi"/>
                <w:sz w:val="24"/>
                <w:szCs w:val="24"/>
              </w:rPr>
              <w:t>re</w:t>
            </w:r>
            <w:r w:rsidR="000F3447">
              <w:rPr>
                <w:rFonts w:cstheme="minorHAnsi"/>
                <w:sz w:val="24"/>
                <w:szCs w:val="24"/>
              </w:rPr>
              <w:t xml:space="preserve"> relevant) are available for support.</w:t>
            </w:r>
          </w:p>
          <w:p w14:paraId="70861C12" w14:textId="77777777" w:rsidR="008C67F8" w:rsidRDefault="000F3447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Differentiation </w:t>
            </w:r>
            <w:r w:rsidR="009E1810">
              <w:rPr>
                <w:rFonts w:cstheme="minorHAnsi"/>
                <w:sz w:val="24"/>
                <w:szCs w:val="24"/>
              </w:rPr>
              <w:t xml:space="preserve">is usually provided </w:t>
            </w:r>
            <w:r>
              <w:rPr>
                <w:rFonts w:cstheme="minorHAnsi"/>
                <w:sz w:val="24"/>
                <w:szCs w:val="24"/>
              </w:rPr>
              <w:t xml:space="preserve">in the </w:t>
            </w:r>
            <w:r w:rsidR="009E1810">
              <w:rPr>
                <w:rFonts w:cstheme="minorHAnsi"/>
                <w:sz w:val="24"/>
                <w:szCs w:val="24"/>
              </w:rPr>
              <w:t>The PE Hub</w:t>
            </w:r>
            <w:r>
              <w:rPr>
                <w:rFonts w:cstheme="minorHAnsi"/>
                <w:sz w:val="24"/>
                <w:szCs w:val="24"/>
              </w:rPr>
              <w:t xml:space="preserve"> lesson plan</w:t>
            </w:r>
            <w:r w:rsidR="009E1810">
              <w:rPr>
                <w:rFonts w:cstheme="minorHAnsi"/>
                <w:sz w:val="24"/>
                <w:szCs w:val="24"/>
              </w:rPr>
              <w:t>s and where it is not, differentiation is carried out by</w:t>
            </w:r>
            <w:r w:rsidR="00842DAC">
              <w:rPr>
                <w:rFonts w:cstheme="minorHAnsi"/>
                <w:sz w:val="24"/>
                <w:szCs w:val="24"/>
              </w:rPr>
              <w:t xml:space="preserve"> altering task, space, equipment or support.</w:t>
            </w:r>
            <w:r w:rsidR="009E1810">
              <w:rPr>
                <w:rFonts w:cstheme="minorHAnsi"/>
                <w:sz w:val="24"/>
                <w:szCs w:val="24"/>
              </w:rPr>
              <w:t xml:space="preserve"> </w:t>
            </w:r>
            <w:r w:rsidR="00AC5E71">
              <w:rPr>
                <w:rFonts w:cstheme="minorHAnsi"/>
                <w:sz w:val="24"/>
                <w:szCs w:val="24"/>
              </w:rPr>
              <w:t>Skilled teaching, along with peer support, can help children who are below age expectation and</w:t>
            </w:r>
            <w:r w:rsidR="00432420">
              <w:rPr>
                <w:rFonts w:cstheme="minorHAnsi"/>
                <w:sz w:val="24"/>
                <w:szCs w:val="24"/>
              </w:rPr>
              <w:t xml:space="preserve"> ensure</w:t>
            </w:r>
            <w:r w:rsidR="00AC5E71">
              <w:rPr>
                <w:rFonts w:cstheme="minorHAnsi"/>
                <w:sz w:val="24"/>
                <w:szCs w:val="24"/>
              </w:rPr>
              <w:t xml:space="preserve"> appropriate challenge is given to those children who are working at greater depth. </w:t>
            </w:r>
          </w:p>
          <w:p w14:paraId="63EFC843" w14:textId="77777777" w:rsidR="000F3447" w:rsidRDefault="008C67F8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 plenaries are carried out throughout lessons to provide opportunity for children to evaluate their own and</w:t>
            </w:r>
            <w:r w:rsidR="00432420">
              <w:rPr>
                <w:rFonts w:cstheme="minorHAnsi"/>
                <w:sz w:val="24"/>
                <w:szCs w:val="24"/>
              </w:rPr>
              <w:t xml:space="preserve"> their peers’</w:t>
            </w:r>
            <w:r>
              <w:rPr>
                <w:rFonts w:cstheme="minorHAnsi"/>
                <w:sz w:val="24"/>
                <w:szCs w:val="24"/>
              </w:rPr>
              <w:t xml:space="preserve"> performances. </w:t>
            </w:r>
            <w:r w:rsidR="009E181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E29792" w14:textId="77777777" w:rsidR="00C7713C" w:rsidRDefault="008C67F8" w:rsidP="000F34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Teachers finish sessions with a ‘cool down’</w:t>
            </w:r>
            <w:r w:rsidR="00BC7614">
              <w:rPr>
                <w:rFonts w:cstheme="minorHAnsi"/>
                <w:sz w:val="24"/>
                <w:szCs w:val="24"/>
              </w:rPr>
              <w:t xml:space="preserve"> and have a group</w:t>
            </w:r>
            <w:r w:rsidR="00C7713C">
              <w:rPr>
                <w:rFonts w:cstheme="minorHAnsi"/>
                <w:sz w:val="24"/>
                <w:szCs w:val="24"/>
              </w:rPr>
              <w:t xml:space="preserve"> reflection on what </w:t>
            </w:r>
            <w:r w:rsidR="00BC7614">
              <w:rPr>
                <w:rFonts w:cstheme="minorHAnsi"/>
                <w:sz w:val="24"/>
                <w:szCs w:val="24"/>
              </w:rPr>
              <w:t>children</w:t>
            </w:r>
            <w:r w:rsidR="00C7713C">
              <w:rPr>
                <w:rFonts w:cstheme="minorHAnsi"/>
                <w:sz w:val="24"/>
                <w:szCs w:val="24"/>
              </w:rPr>
              <w:t xml:space="preserve"> have learnt</w:t>
            </w:r>
            <w:r w:rsidR="00BC7614">
              <w:rPr>
                <w:rFonts w:cstheme="minorHAnsi"/>
                <w:sz w:val="24"/>
                <w:szCs w:val="24"/>
              </w:rPr>
              <w:t xml:space="preserve"> during the session.</w:t>
            </w:r>
          </w:p>
          <w:p w14:paraId="0FDD7EBA" w14:textId="77777777" w:rsidR="00D767C2" w:rsidRPr="00D767C2" w:rsidRDefault="00D767C2" w:rsidP="00B43B93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BA6B41" w:rsidRPr="00C60682" w14:paraId="5DA85E73" w14:textId="77777777" w:rsidTr="00E91ED1">
        <w:trPr>
          <w:trHeight w:val="243"/>
        </w:trPr>
        <w:tc>
          <w:tcPr>
            <w:tcW w:w="15388" w:type="dxa"/>
            <w:shd w:val="clear" w:color="auto" w:fill="00B050"/>
          </w:tcPr>
          <w:p w14:paraId="7F5792D1" w14:textId="77777777" w:rsidR="00BA6B41" w:rsidRPr="00C60682" w:rsidRDefault="00BA6B41" w:rsidP="00E91ED1">
            <w:pPr>
              <w:rPr>
                <w:rFonts w:cstheme="minorHAnsi"/>
                <w:sz w:val="24"/>
                <w:szCs w:val="24"/>
              </w:rPr>
            </w:pPr>
            <w:r w:rsidRPr="00C60682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Impact</w:t>
            </w:r>
            <w:r w:rsidR="00E91ED1" w:rsidRPr="00C60682">
              <w:rPr>
                <w:rFonts w:cstheme="minorHAnsi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91ED1" w:rsidRPr="00C60682" w14:paraId="548B817C" w14:textId="77777777" w:rsidTr="00D767C2">
        <w:trPr>
          <w:trHeight w:val="146"/>
        </w:trPr>
        <w:tc>
          <w:tcPr>
            <w:tcW w:w="15388" w:type="dxa"/>
          </w:tcPr>
          <w:p w14:paraId="1F3C4BCE" w14:textId="77777777" w:rsidR="00817953" w:rsidRPr="00817953" w:rsidRDefault="00432420" w:rsidP="0081795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817953" w:rsidRPr="00817953">
              <w:rPr>
                <w:rFonts w:cstheme="minorHAnsi"/>
                <w:sz w:val="24"/>
                <w:szCs w:val="24"/>
              </w:rPr>
              <w:t>ave the competence to excel in a broad range of physical activities.</w:t>
            </w:r>
          </w:p>
          <w:p w14:paraId="6734D222" w14:textId="77777777" w:rsidR="00817953" w:rsidRPr="00817953" w:rsidRDefault="00432420" w:rsidP="0081795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817953" w:rsidRPr="00817953">
              <w:rPr>
                <w:rFonts w:cstheme="minorHAnsi"/>
                <w:sz w:val="24"/>
                <w:szCs w:val="24"/>
              </w:rPr>
              <w:t>ead healthy and active lives and make positive life choices.</w:t>
            </w:r>
          </w:p>
          <w:p w14:paraId="706E5A4F" w14:textId="77777777" w:rsidR="00447499" w:rsidRPr="00817953" w:rsidRDefault="00432420" w:rsidP="0081795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817953" w:rsidRPr="00817953">
              <w:rPr>
                <w:rFonts w:cstheme="minorHAnsi"/>
                <w:sz w:val="24"/>
                <w:szCs w:val="24"/>
              </w:rPr>
              <w:t>ave developed positive attitudes to participation in physical activity and embed values such as fairness and respect</w:t>
            </w:r>
            <w:r w:rsidR="0081795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23B58" w:rsidRPr="00C60682" w14:paraId="4414B1D7" w14:textId="77777777" w:rsidTr="0044679B">
        <w:trPr>
          <w:trHeight w:val="1297"/>
        </w:trPr>
        <w:tc>
          <w:tcPr>
            <w:tcW w:w="15388" w:type="dxa"/>
          </w:tcPr>
          <w:p w14:paraId="06F34466" w14:textId="77777777" w:rsidR="00E23B58" w:rsidRDefault="00E23B58" w:rsidP="00E610A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Next steps</w:t>
            </w:r>
          </w:p>
          <w:p w14:paraId="3D93A212" w14:textId="77777777" w:rsidR="00CF4FEC" w:rsidRDefault="00CF4FEC" w:rsidP="009021B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Link teaching of sports to national and international competitions to give real life context and purpose. </w:t>
            </w:r>
          </w:p>
          <w:p w14:paraId="63BD5C09" w14:textId="77777777" w:rsidR="00CF4FEC" w:rsidRDefault="00FF74AE" w:rsidP="009021B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More competition opportunities for KS1.</w:t>
            </w:r>
          </w:p>
          <w:p w14:paraId="7280BAC1" w14:textId="77777777" w:rsidR="009021B8" w:rsidRDefault="00FF74AE" w:rsidP="009021B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Trial a formative assessment program.</w:t>
            </w:r>
          </w:p>
          <w:p w14:paraId="4F89771F" w14:textId="77777777" w:rsidR="009021B8" w:rsidRPr="00FF74AE" w:rsidRDefault="00FF74AE" w:rsidP="00FF74A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Offer more specialist teaching in after school clubs.</w:t>
            </w:r>
          </w:p>
          <w:p w14:paraId="67ABC796" w14:textId="77777777" w:rsidR="009021B8" w:rsidRPr="00D767C2" w:rsidRDefault="009021B8" w:rsidP="009021B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walks / lesson observations</w:t>
            </w:r>
          </w:p>
        </w:tc>
      </w:tr>
    </w:tbl>
    <w:p w14:paraId="68F7519B" w14:textId="77777777" w:rsidR="00F14085" w:rsidRPr="00C60682" w:rsidRDefault="00F14085" w:rsidP="00A03FCB">
      <w:pPr>
        <w:rPr>
          <w:rFonts w:cstheme="minorHAnsi"/>
          <w:sz w:val="40"/>
        </w:rPr>
      </w:pPr>
    </w:p>
    <w:sectPr w:rsidR="00F14085" w:rsidRPr="00C60682" w:rsidSect="00A209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4F4"/>
    <w:multiLevelType w:val="hybridMultilevel"/>
    <w:tmpl w:val="26A6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779D"/>
    <w:multiLevelType w:val="hybridMultilevel"/>
    <w:tmpl w:val="A32667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436848"/>
    <w:multiLevelType w:val="hybridMultilevel"/>
    <w:tmpl w:val="A9F0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D4E"/>
    <w:multiLevelType w:val="hybridMultilevel"/>
    <w:tmpl w:val="C17A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156E"/>
    <w:multiLevelType w:val="hybridMultilevel"/>
    <w:tmpl w:val="B07C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7059E"/>
    <w:multiLevelType w:val="hybridMultilevel"/>
    <w:tmpl w:val="5D28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4AD"/>
    <w:multiLevelType w:val="hybridMultilevel"/>
    <w:tmpl w:val="AD4E1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92F51"/>
    <w:multiLevelType w:val="hybridMultilevel"/>
    <w:tmpl w:val="F70C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2F1B"/>
    <w:multiLevelType w:val="hybridMultilevel"/>
    <w:tmpl w:val="C880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256C"/>
    <w:multiLevelType w:val="hybridMultilevel"/>
    <w:tmpl w:val="D25496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B5479A"/>
    <w:multiLevelType w:val="hybridMultilevel"/>
    <w:tmpl w:val="27BE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32C5"/>
    <w:multiLevelType w:val="hybridMultilevel"/>
    <w:tmpl w:val="4CBE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86383"/>
    <w:multiLevelType w:val="hybridMultilevel"/>
    <w:tmpl w:val="DC3A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48"/>
    <w:multiLevelType w:val="hybridMultilevel"/>
    <w:tmpl w:val="7DB8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41D0D"/>
    <w:multiLevelType w:val="hybridMultilevel"/>
    <w:tmpl w:val="5D5A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39F9"/>
    <w:multiLevelType w:val="hybridMultilevel"/>
    <w:tmpl w:val="6F0E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257D9"/>
    <w:multiLevelType w:val="hybridMultilevel"/>
    <w:tmpl w:val="B2223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80D8A"/>
    <w:multiLevelType w:val="hybridMultilevel"/>
    <w:tmpl w:val="60E6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E43FA"/>
    <w:multiLevelType w:val="hybridMultilevel"/>
    <w:tmpl w:val="0C20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5289"/>
    <w:multiLevelType w:val="hybridMultilevel"/>
    <w:tmpl w:val="4EA0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C5FB6"/>
    <w:multiLevelType w:val="hybridMultilevel"/>
    <w:tmpl w:val="2CD2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A52B8"/>
    <w:multiLevelType w:val="hybridMultilevel"/>
    <w:tmpl w:val="2D5A3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C16B9"/>
    <w:multiLevelType w:val="hybridMultilevel"/>
    <w:tmpl w:val="EBFE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86833"/>
    <w:multiLevelType w:val="hybridMultilevel"/>
    <w:tmpl w:val="93F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13583"/>
    <w:multiLevelType w:val="hybridMultilevel"/>
    <w:tmpl w:val="2B88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52B35"/>
    <w:multiLevelType w:val="hybridMultilevel"/>
    <w:tmpl w:val="85CE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07290"/>
    <w:multiLevelType w:val="hybridMultilevel"/>
    <w:tmpl w:val="7B50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00A70"/>
    <w:multiLevelType w:val="hybridMultilevel"/>
    <w:tmpl w:val="5492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2417"/>
    <w:multiLevelType w:val="hybridMultilevel"/>
    <w:tmpl w:val="7610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7"/>
  </w:num>
  <w:num w:numId="5">
    <w:abstractNumId w:val="11"/>
  </w:num>
  <w:num w:numId="6">
    <w:abstractNumId w:val="3"/>
  </w:num>
  <w:num w:numId="7">
    <w:abstractNumId w:val="23"/>
  </w:num>
  <w:num w:numId="8">
    <w:abstractNumId w:val="14"/>
  </w:num>
  <w:num w:numId="9">
    <w:abstractNumId w:val="19"/>
  </w:num>
  <w:num w:numId="10">
    <w:abstractNumId w:val="10"/>
  </w:num>
  <w:num w:numId="11">
    <w:abstractNumId w:val="21"/>
  </w:num>
  <w:num w:numId="12">
    <w:abstractNumId w:val="4"/>
  </w:num>
  <w:num w:numId="13">
    <w:abstractNumId w:val="1"/>
  </w:num>
  <w:num w:numId="14">
    <w:abstractNumId w:val="26"/>
  </w:num>
  <w:num w:numId="15">
    <w:abstractNumId w:val="24"/>
  </w:num>
  <w:num w:numId="16">
    <w:abstractNumId w:val="12"/>
  </w:num>
  <w:num w:numId="17">
    <w:abstractNumId w:val="27"/>
  </w:num>
  <w:num w:numId="18">
    <w:abstractNumId w:val="2"/>
  </w:num>
  <w:num w:numId="19">
    <w:abstractNumId w:val="13"/>
  </w:num>
  <w:num w:numId="20">
    <w:abstractNumId w:val="0"/>
  </w:num>
  <w:num w:numId="21">
    <w:abstractNumId w:val="28"/>
  </w:num>
  <w:num w:numId="22">
    <w:abstractNumId w:val="25"/>
  </w:num>
  <w:num w:numId="23">
    <w:abstractNumId w:val="16"/>
  </w:num>
  <w:num w:numId="24">
    <w:abstractNumId w:val="22"/>
  </w:num>
  <w:num w:numId="25">
    <w:abstractNumId w:val="7"/>
  </w:num>
  <w:num w:numId="26">
    <w:abstractNumId w:val="18"/>
  </w:num>
  <w:num w:numId="27">
    <w:abstractNumId w:val="20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3"/>
    <w:rsid w:val="00001F3C"/>
    <w:rsid w:val="000055AE"/>
    <w:rsid w:val="00023470"/>
    <w:rsid w:val="0002364D"/>
    <w:rsid w:val="0006417A"/>
    <w:rsid w:val="000753AA"/>
    <w:rsid w:val="000805E4"/>
    <w:rsid w:val="00082A0A"/>
    <w:rsid w:val="000B66C7"/>
    <w:rsid w:val="000C6469"/>
    <w:rsid w:val="000F32E9"/>
    <w:rsid w:val="000F3447"/>
    <w:rsid w:val="00110177"/>
    <w:rsid w:val="001130C3"/>
    <w:rsid w:val="0011458D"/>
    <w:rsid w:val="001203EB"/>
    <w:rsid w:val="001222F1"/>
    <w:rsid w:val="001419B0"/>
    <w:rsid w:val="00145E4F"/>
    <w:rsid w:val="00166BD8"/>
    <w:rsid w:val="001A6A70"/>
    <w:rsid w:val="00232693"/>
    <w:rsid w:val="00243EA5"/>
    <w:rsid w:val="00252D96"/>
    <w:rsid w:val="002845AA"/>
    <w:rsid w:val="00295A22"/>
    <w:rsid w:val="002C2A78"/>
    <w:rsid w:val="002D5957"/>
    <w:rsid w:val="002E2BFD"/>
    <w:rsid w:val="002E5517"/>
    <w:rsid w:val="00305FE6"/>
    <w:rsid w:val="00322F06"/>
    <w:rsid w:val="00384641"/>
    <w:rsid w:val="003A572E"/>
    <w:rsid w:val="003D14E1"/>
    <w:rsid w:val="003D7248"/>
    <w:rsid w:val="003E5AAC"/>
    <w:rsid w:val="00400483"/>
    <w:rsid w:val="00406460"/>
    <w:rsid w:val="00432420"/>
    <w:rsid w:val="00447499"/>
    <w:rsid w:val="00457C40"/>
    <w:rsid w:val="00470EBB"/>
    <w:rsid w:val="004815E3"/>
    <w:rsid w:val="0048685C"/>
    <w:rsid w:val="004C1848"/>
    <w:rsid w:val="004C2155"/>
    <w:rsid w:val="004C37B5"/>
    <w:rsid w:val="004C5617"/>
    <w:rsid w:val="004C7FD8"/>
    <w:rsid w:val="004D7F4A"/>
    <w:rsid w:val="00517832"/>
    <w:rsid w:val="00590BEA"/>
    <w:rsid w:val="0059674C"/>
    <w:rsid w:val="005B767A"/>
    <w:rsid w:val="005C1437"/>
    <w:rsid w:val="005D3C30"/>
    <w:rsid w:val="005E78C9"/>
    <w:rsid w:val="00614831"/>
    <w:rsid w:val="00684B0D"/>
    <w:rsid w:val="006A25DE"/>
    <w:rsid w:val="006A35AE"/>
    <w:rsid w:val="006B1D89"/>
    <w:rsid w:val="006B764E"/>
    <w:rsid w:val="006B7FB6"/>
    <w:rsid w:val="006C4EDC"/>
    <w:rsid w:val="006E112F"/>
    <w:rsid w:val="007226A4"/>
    <w:rsid w:val="00722915"/>
    <w:rsid w:val="00765A21"/>
    <w:rsid w:val="00767944"/>
    <w:rsid w:val="007857A6"/>
    <w:rsid w:val="007861D8"/>
    <w:rsid w:val="007A49F5"/>
    <w:rsid w:val="007A5F7B"/>
    <w:rsid w:val="007D1884"/>
    <w:rsid w:val="00817953"/>
    <w:rsid w:val="00825759"/>
    <w:rsid w:val="00842DAC"/>
    <w:rsid w:val="00846B3A"/>
    <w:rsid w:val="00846DF5"/>
    <w:rsid w:val="00873D59"/>
    <w:rsid w:val="008B1D28"/>
    <w:rsid w:val="008B5A96"/>
    <w:rsid w:val="008C59FE"/>
    <w:rsid w:val="008C67F8"/>
    <w:rsid w:val="008D04E4"/>
    <w:rsid w:val="008D2406"/>
    <w:rsid w:val="009021B8"/>
    <w:rsid w:val="00914ECA"/>
    <w:rsid w:val="00917041"/>
    <w:rsid w:val="009516E5"/>
    <w:rsid w:val="00991144"/>
    <w:rsid w:val="009A1CC4"/>
    <w:rsid w:val="009B49F2"/>
    <w:rsid w:val="009D2A80"/>
    <w:rsid w:val="009E1810"/>
    <w:rsid w:val="009F02DF"/>
    <w:rsid w:val="009F627C"/>
    <w:rsid w:val="00A005C6"/>
    <w:rsid w:val="00A03FCB"/>
    <w:rsid w:val="00A20953"/>
    <w:rsid w:val="00A23472"/>
    <w:rsid w:val="00A418CF"/>
    <w:rsid w:val="00A57DC5"/>
    <w:rsid w:val="00A717A5"/>
    <w:rsid w:val="00A8665A"/>
    <w:rsid w:val="00A92A96"/>
    <w:rsid w:val="00AA5252"/>
    <w:rsid w:val="00AC5E71"/>
    <w:rsid w:val="00AD0808"/>
    <w:rsid w:val="00AE13C5"/>
    <w:rsid w:val="00AF3BFD"/>
    <w:rsid w:val="00AF6D63"/>
    <w:rsid w:val="00B04CBD"/>
    <w:rsid w:val="00B0511E"/>
    <w:rsid w:val="00B05F5E"/>
    <w:rsid w:val="00B1332F"/>
    <w:rsid w:val="00B146B6"/>
    <w:rsid w:val="00B36CD4"/>
    <w:rsid w:val="00B43B93"/>
    <w:rsid w:val="00B513DC"/>
    <w:rsid w:val="00B718E3"/>
    <w:rsid w:val="00B74805"/>
    <w:rsid w:val="00B92E3A"/>
    <w:rsid w:val="00BA54B2"/>
    <w:rsid w:val="00BA6B41"/>
    <w:rsid w:val="00BB4C2B"/>
    <w:rsid w:val="00BC7614"/>
    <w:rsid w:val="00BD3CAA"/>
    <w:rsid w:val="00BD69FA"/>
    <w:rsid w:val="00BD722C"/>
    <w:rsid w:val="00BF504B"/>
    <w:rsid w:val="00C072F2"/>
    <w:rsid w:val="00C319E6"/>
    <w:rsid w:val="00C60682"/>
    <w:rsid w:val="00C75A76"/>
    <w:rsid w:val="00C7713C"/>
    <w:rsid w:val="00C777B6"/>
    <w:rsid w:val="00C86A29"/>
    <w:rsid w:val="00C87AA7"/>
    <w:rsid w:val="00C96C4A"/>
    <w:rsid w:val="00CD53A3"/>
    <w:rsid w:val="00CF4FEC"/>
    <w:rsid w:val="00D13AE9"/>
    <w:rsid w:val="00D318FF"/>
    <w:rsid w:val="00D41746"/>
    <w:rsid w:val="00D4387F"/>
    <w:rsid w:val="00D54DE3"/>
    <w:rsid w:val="00D55D26"/>
    <w:rsid w:val="00D767C2"/>
    <w:rsid w:val="00D8773A"/>
    <w:rsid w:val="00D914A8"/>
    <w:rsid w:val="00DA3693"/>
    <w:rsid w:val="00DC09CB"/>
    <w:rsid w:val="00DC1471"/>
    <w:rsid w:val="00DD1074"/>
    <w:rsid w:val="00DD4500"/>
    <w:rsid w:val="00DF0410"/>
    <w:rsid w:val="00E04E7A"/>
    <w:rsid w:val="00E077F1"/>
    <w:rsid w:val="00E23B58"/>
    <w:rsid w:val="00E417ED"/>
    <w:rsid w:val="00E43FDE"/>
    <w:rsid w:val="00E47561"/>
    <w:rsid w:val="00E563B4"/>
    <w:rsid w:val="00E610A4"/>
    <w:rsid w:val="00E661C4"/>
    <w:rsid w:val="00E91ED1"/>
    <w:rsid w:val="00E95215"/>
    <w:rsid w:val="00EA7C6F"/>
    <w:rsid w:val="00EB12CE"/>
    <w:rsid w:val="00EE0448"/>
    <w:rsid w:val="00EE206C"/>
    <w:rsid w:val="00F11F97"/>
    <w:rsid w:val="00F13458"/>
    <w:rsid w:val="00F14085"/>
    <w:rsid w:val="00F1410F"/>
    <w:rsid w:val="00F73C45"/>
    <w:rsid w:val="00F976D6"/>
    <w:rsid w:val="00FF580C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6255"/>
  <w15:chartTrackingRefBased/>
  <w15:docId w15:val="{08C58741-E462-46C5-8D20-8D1554C2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0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6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Farrell</dc:creator>
  <cp:keywords/>
  <dc:description/>
  <cp:lastModifiedBy>Sagar Lathia</cp:lastModifiedBy>
  <cp:revision>2</cp:revision>
  <cp:lastPrinted>2022-03-15T12:59:00Z</cp:lastPrinted>
  <dcterms:created xsi:type="dcterms:W3CDTF">2022-09-30T13:08:00Z</dcterms:created>
  <dcterms:modified xsi:type="dcterms:W3CDTF">2022-09-30T13:08:00Z</dcterms:modified>
</cp:coreProperties>
</file>